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17B" w:rsidRDefault="00FE717B" w:rsidP="00FE717B">
      <w:pPr>
        <w:adjustRightInd/>
        <w:snapToGrid/>
        <w:spacing w:after="0"/>
        <w:rPr>
          <w:rFonts w:ascii="Times New Roman" w:eastAsia="仿宋_GB2312" w:hAnsi="Times New Roman" w:cs="仿宋_GB2312"/>
          <w:b/>
          <w:kern w:val="2"/>
          <w:sz w:val="32"/>
          <w:szCs w:val="32"/>
        </w:rPr>
      </w:pPr>
      <w:r w:rsidRPr="00FE717B">
        <w:rPr>
          <w:rFonts w:ascii="Times New Roman" w:eastAsia="仿宋_GB2312" w:hAnsi="Times New Roman" w:cs="仿宋_GB2312"/>
          <w:b/>
          <w:kern w:val="2"/>
          <w:sz w:val="32"/>
          <w:szCs w:val="32"/>
        </w:rPr>
        <w:t>附件一</w:t>
      </w:r>
      <w:r w:rsidRPr="00FE717B">
        <w:rPr>
          <w:rFonts w:ascii="Times New Roman" w:eastAsia="仿宋_GB2312" w:hAnsi="Times New Roman" w:cs="仿宋_GB2312" w:hint="eastAsia"/>
          <w:b/>
          <w:kern w:val="2"/>
          <w:sz w:val="32"/>
          <w:szCs w:val="32"/>
        </w:rPr>
        <w:t>：</w:t>
      </w:r>
      <w:r w:rsidRPr="00FE717B">
        <w:rPr>
          <w:rFonts w:ascii="Times New Roman" w:eastAsia="仿宋_GB2312" w:hAnsi="Times New Roman" w:cs="仿宋_GB2312"/>
          <w:b/>
          <w:kern w:val="2"/>
          <w:sz w:val="32"/>
          <w:szCs w:val="32"/>
        </w:rPr>
        <w:t>会议日程</w:t>
      </w:r>
    </w:p>
    <w:p w:rsidR="00D244CC" w:rsidRPr="00FE717B" w:rsidRDefault="00D244CC" w:rsidP="00FE717B">
      <w:pPr>
        <w:adjustRightInd/>
        <w:snapToGrid/>
        <w:spacing w:after="0"/>
        <w:rPr>
          <w:rFonts w:ascii="Times New Roman" w:eastAsia="仿宋_GB2312" w:hAnsi="Times New Roman" w:cs="仿宋_GB2312"/>
          <w:b/>
          <w:kern w:val="2"/>
          <w:sz w:val="32"/>
          <w:szCs w:val="32"/>
        </w:rPr>
      </w:pPr>
    </w:p>
    <w:p w:rsidR="00D244CC" w:rsidRPr="00FE717B" w:rsidRDefault="00FE717B" w:rsidP="00FC0B96">
      <w:pPr>
        <w:adjustRightInd/>
        <w:snapToGrid/>
        <w:spacing w:after="0"/>
        <w:jc w:val="center"/>
        <w:rPr>
          <w:rFonts w:ascii="Times New Roman" w:eastAsia="仿宋_GB2312" w:hAnsi="Times New Roman" w:cs="仿宋_GB2312"/>
          <w:b/>
          <w:kern w:val="2"/>
          <w:sz w:val="32"/>
          <w:szCs w:val="32"/>
        </w:rPr>
      </w:pPr>
      <w:r w:rsidRPr="00FE717B">
        <w:rPr>
          <w:rFonts w:ascii="Times New Roman" w:eastAsia="仿宋_GB2312" w:hAnsi="Times New Roman" w:cs="仿宋_GB2312" w:hint="eastAsia"/>
          <w:b/>
          <w:kern w:val="2"/>
          <w:sz w:val="32"/>
          <w:szCs w:val="32"/>
        </w:rPr>
        <w:t>第二届移动源污染排放控制技术国际研讨会会议日程</w:t>
      </w:r>
    </w:p>
    <w:tbl>
      <w:tblPr>
        <w:tblW w:w="11001" w:type="dxa"/>
        <w:tblInd w:w="-1168" w:type="dxa"/>
        <w:tblLook w:val="04A0"/>
      </w:tblPr>
      <w:tblGrid>
        <w:gridCol w:w="1276"/>
        <w:gridCol w:w="1466"/>
        <w:gridCol w:w="5141"/>
        <w:gridCol w:w="1223"/>
        <w:gridCol w:w="1895"/>
      </w:tblGrid>
      <w:tr w:rsidR="00FE717B" w:rsidRPr="00FE717B" w:rsidTr="00FE717B">
        <w:trPr>
          <w:trHeight w:val="402"/>
        </w:trPr>
        <w:tc>
          <w:tcPr>
            <w:tcW w:w="127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日期</w:t>
            </w:r>
          </w:p>
        </w:tc>
        <w:tc>
          <w:tcPr>
            <w:tcW w:w="1466" w:type="dxa"/>
            <w:tcBorders>
              <w:top w:val="single" w:sz="4" w:space="0" w:color="auto"/>
              <w:left w:val="nil"/>
              <w:bottom w:val="single" w:sz="4" w:space="0" w:color="auto"/>
              <w:right w:val="single" w:sz="4" w:space="0" w:color="auto"/>
            </w:tcBorders>
            <w:shd w:val="clear" w:color="auto" w:fill="DAEEF3"/>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时间</w:t>
            </w:r>
          </w:p>
        </w:tc>
        <w:tc>
          <w:tcPr>
            <w:tcW w:w="514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活动内容</w:t>
            </w:r>
          </w:p>
        </w:tc>
        <w:tc>
          <w:tcPr>
            <w:tcW w:w="1223" w:type="dxa"/>
            <w:tcBorders>
              <w:top w:val="single" w:sz="4" w:space="0" w:color="auto"/>
              <w:left w:val="nil"/>
              <w:bottom w:val="single" w:sz="4" w:space="0" w:color="auto"/>
              <w:right w:val="single" w:sz="4" w:space="0" w:color="auto"/>
            </w:tcBorders>
            <w:shd w:val="clear" w:color="auto" w:fill="DAEEF3"/>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地点</w:t>
            </w:r>
          </w:p>
        </w:tc>
        <w:tc>
          <w:tcPr>
            <w:tcW w:w="189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备注</w:t>
            </w:r>
          </w:p>
        </w:tc>
      </w:tr>
      <w:tr w:rsidR="00FE717B" w:rsidRPr="00FE717B" w:rsidTr="00FE717B">
        <w:trPr>
          <w:trHeight w:val="402"/>
        </w:trPr>
        <w:tc>
          <w:tcPr>
            <w:tcW w:w="1276" w:type="dxa"/>
            <w:vMerge w:val="restart"/>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8月15日</w:t>
            </w:r>
          </w:p>
        </w:tc>
        <w:tc>
          <w:tcPr>
            <w:tcW w:w="1466" w:type="dxa"/>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10:00-22:00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会议注册</w:t>
            </w:r>
          </w:p>
        </w:tc>
        <w:tc>
          <w:tcPr>
            <w:tcW w:w="1223" w:type="dxa"/>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一楼大堂</w:t>
            </w:r>
          </w:p>
        </w:tc>
        <w:tc>
          <w:tcPr>
            <w:tcW w:w="1895" w:type="dxa"/>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521"/>
        </w:trPr>
        <w:tc>
          <w:tcPr>
            <w:tcW w:w="127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66" w:type="dxa"/>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16:00-17:30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移动源污染排放控制技术国家工程实验室第一届专家委员会第二次会议</w:t>
            </w:r>
          </w:p>
        </w:tc>
        <w:tc>
          <w:tcPr>
            <w:tcW w:w="1223" w:type="dxa"/>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四楼多功能厅</w:t>
            </w:r>
          </w:p>
        </w:tc>
        <w:tc>
          <w:tcPr>
            <w:tcW w:w="1895" w:type="dxa"/>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rPr>
                <w:rFonts w:ascii="仿宋" w:eastAsia="仿宋" w:hAnsi="仿宋" w:cs="宋体"/>
                <w:color w:val="000000"/>
              </w:rPr>
            </w:pPr>
          </w:p>
        </w:tc>
      </w:tr>
    </w:tbl>
    <w:p w:rsidR="00FE717B" w:rsidRPr="00FE717B" w:rsidRDefault="00FE717B" w:rsidP="00FE717B">
      <w:pPr>
        <w:adjustRightInd/>
        <w:snapToGrid/>
        <w:spacing w:after="0"/>
        <w:rPr>
          <w:rFonts w:ascii="仿宋" w:eastAsia="仿宋" w:hAnsi="仿宋" w:cs="Times New Roman"/>
          <w:bCs/>
          <w:kern w:val="2"/>
          <w:sz w:val="28"/>
          <w:szCs w:val="21"/>
        </w:rPr>
      </w:pPr>
    </w:p>
    <w:tbl>
      <w:tblPr>
        <w:tblW w:w="11001" w:type="dxa"/>
        <w:tblInd w:w="-1168" w:type="dxa"/>
        <w:tblLook w:val="04A0"/>
      </w:tblPr>
      <w:tblGrid>
        <w:gridCol w:w="1316"/>
        <w:gridCol w:w="1426"/>
        <w:gridCol w:w="5141"/>
        <w:gridCol w:w="1223"/>
        <w:gridCol w:w="1895"/>
      </w:tblGrid>
      <w:tr w:rsidR="00FE717B" w:rsidRPr="00FE717B" w:rsidTr="00FE717B">
        <w:trPr>
          <w:trHeight w:val="402"/>
        </w:trPr>
        <w:tc>
          <w:tcPr>
            <w:tcW w:w="131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日期</w:t>
            </w:r>
          </w:p>
        </w:tc>
        <w:tc>
          <w:tcPr>
            <w:tcW w:w="1426" w:type="dxa"/>
            <w:tcBorders>
              <w:top w:val="single" w:sz="4" w:space="0" w:color="auto"/>
              <w:left w:val="nil"/>
              <w:bottom w:val="single" w:sz="4" w:space="0" w:color="auto"/>
              <w:right w:val="single" w:sz="4" w:space="0" w:color="auto"/>
            </w:tcBorders>
            <w:shd w:val="clear" w:color="auto" w:fill="DAEEF3"/>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时间</w:t>
            </w:r>
          </w:p>
        </w:tc>
        <w:tc>
          <w:tcPr>
            <w:tcW w:w="5141"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活动内容</w:t>
            </w:r>
          </w:p>
        </w:tc>
        <w:tc>
          <w:tcPr>
            <w:tcW w:w="1223" w:type="dxa"/>
            <w:tcBorders>
              <w:top w:val="single" w:sz="4" w:space="0" w:color="auto"/>
              <w:left w:val="nil"/>
              <w:bottom w:val="single" w:sz="4" w:space="0" w:color="auto"/>
              <w:right w:val="single" w:sz="4" w:space="0" w:color="auto"/>
            </w:tcBorders>
            <w:shd w:val="clear" w:color="auto" w:fill="DAEEF3"/>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地点</w:t>
            </w:r>
          </w:p>
        </w:tc>
        <w:tc>
          <w:tcPr>
            <w:tcW w:w="1895"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备注</w:t>
            </w:r>
          </w:p>
        </w:tc>
      </w:tr>
      <w:tr w:rsidR="00FE717B" w:rsidRPr="00FE717B" w:rsidTr="00FE717B">
        <w:trPr>
          <w:trHeight w:val="402"/>
        </w:trPr>
        <w:tc>
          <w:tcPr>
            <w:tcW w:w="1316" w:type="dxa"/>
            <w:vMerge w:val="restart"/>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8月16日</w:t>
            </w: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08:00-08:30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嘉宾入场</w:t>
            </w:r>
          </w:p>
        </w:tc>
        <w:tc>
          <w:tcPr>
            <w:tcW w:w="1223" w:type="dxa"/>
            <w:vMerge w:val="restart"/>
            <w:tcBorders>
              <w:top w:val="single" w:sz="4" w:space="0" w:color="auto"/>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08:30-09:00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主办方及相关领导致辞</w:t>
            </w:r>
          </w:p>
        </w:tc>
        <w:tc>
          <w:tcPr>
            <w:tcW w:w="1223" w:type="dxa"/>
            <w:vMerge/>
            <w:tcBorders>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Times New Roman"/>
                <w:color w:val="000000"/>
                <w:kern w:val="2"/>
              </w:rPr>
            </w:pPr>
            <w:r w:rsidRPr="00FE717B">
              <w:rPr>
                <w:rFonts w:ascii="仿宋" w:eastAsia="仿宋" w:hAnsi="仿宋" w:cs="Times New Roman" w:hint="eastAsia"/>
                <w:color w:val="000000"/>
                <w:kern w:val="2"/>
              </w:rPr>
              <w:t>09:00-09:20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合影</w:t>
            </w:r>
          </w:p>
        </w:tc>
        <w:tc>
          <w:tcPr>
            <w:tcW w:w="1223" w:type="dxa"/>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r w:rsidRPr="00FE717B">
              <w:rPr>
                <w:rFonts w:ascii="仿宋" w:eastAsia="仿宋" w:hAnsi="仿宋" w:cs="宋体" w:hint="eastAsia"/>
                <w:color w:val="000000"/>
              </w:rPr>
              <w:t>酒店楼前</w:t>
            </w:r>
          </w:p>
        </w:tc>
        <w:tc>
          <w:tcPr>
            <w:tcW w:w="1895" w:type="dxa"/>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9685" w:type="dxa"/>
            <w:gridSpan w:val="4"/>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第一部分：大会特邀报告</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09:20-10:00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“2+26”城市大气灰霾追因与机动车排放控制技术研究</w:t>
            </w:r>
          </w:p>
        </w:tc>
        <w:tc>
          <w:tcPr>
            <w:tcW w:w="1223" w:type="dxa"/>
            <w:vMerge w:val="restart"/>
            <w:tcBorders>
              <w:top w:val="single" w:sz="4" w:space="0" w:color="auto"/>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中国工程院院士、生态环境部污控中心、工信部专家、内燃机协会</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10:00-10:15</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茶歇与交流</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465"/>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10:15-10:55</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1C4ADF"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内燃机与电动化如何长期共存</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510"/>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10:55-11:35</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1C4ADF" w:rsidP="00FE717B">
            <w:pPr>
              <w:adjustRightInd/>
              <w:snapToGrid/>
              <w:spacing w:after="0"/>
              <w:jc w:val="center"/>
              <w:rPr>
                <w:rFonts w:ascii="仿宋" w:eastAsia="仿宋" w:hAnsi="仿宋" w:cs="宋体"/>
                <w:color w:val="000000"/>
              </w:rPr>
            </w:pPr>
            <w:r w:rsidRPr="001C4ADF">
              <w:rPr>
                <w:rFonts w:ascii="仿宋" w:eastAsia="仿宋" w:hAnsi="仿宋" w:cs="宋体" w:hint="eastAsia"/>
                <w:color w:val="000000"/>
              </w:rPr>
              <w:t>柴油车污染排放控制技术要求与攻坚战</w:t>
            </w:r>
          </w:p>
        </w:tc>
        <w:tc>
          <w:tcPr>
            <w:tcW w:w="1223" w:type="dxa"/>
            <w:vMerge/>
            <w:tcBorders>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510"/>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11:35-13:00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自助午餐</w:t>
            </w:r>
          </w:p>
        </w:tc>
        <w:tc>
          <w:tcPr>
            <w:tcW w:w="1223" w:type="dxa"/>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二楼棠宫中餐厅</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9685" w:type="dxa"/>
            <w:gridSpan w:val="4"/>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第二部分：柴油车污染排放控制技术专题</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13:30-14:00</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重型车车载测量方法及技术要求解读</w:t>
            </w:r>
          </w:p>
        </w:tc>
        <w:tc>
          <w:tcPr>
            <w:tcW w:w="1223" w:type="dxa"/>
            <w:vMerge w:val="restart"/>
            <w:tcBorders>
              <w:top w:val="single" w:sz="4" w:space="0" w:color="auto"/>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中国环科院、潍柴、玉柴、清华大学、上海交大等单位技术专家</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14:00-14:30</w:t>
            </w:r>
          </w:p>
        </w:tc>
        <w:tc>
          <w:tcPr>
            <w:tcW w:w="5141" w:type="dxa"/>
            <w:tcBorders>
              <w:top w:val="nil"/>
              <w:left w:val="single" w:sz="4" w:space="0" w:color="auto"/>
              <w:bottom w:val="nil"/>
              <w:right w:val="nil"/>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清洁柴油机机内净化技术研究现状及趋势</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14:30-15:00</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面向国6轻/重型柴油车排放控制系统集成关键技术</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15:00-15:20</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茶歇与交流</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15:20-15:50</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天然气汽车尾气净化催化剂研究</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15:50-16:20</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柴油车SCR关键材料最新研究进展</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16:20-16:50</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柴油车国六排放后处理技术与挑战</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16:50-17:20</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移动源污染排放在线监测技术与装备</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17:20-17:30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总结讨论</w:t>
            </w:r>
          </w:p>
        </w:tc>
        <w:tc>
          <w:tcPr>
            <w:tcW w:w="1223" w:type="dxa"/>
            <w:vMerge/>
            <w:tcBorders>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555"/>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18:30-21:00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欢迎晚宴</w:t>
            </w:r>
          </w:p>
        </w:tc>
        <w:tc>
          <w:tcPr>
            <w:tcW w:w="1223" w:type="dxa"/>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bl>
    <w:p w:rsidR="00FE717B" w:rsidRPr="00FE717B" w:rsidRDefault="00FE717B" w:rsidP="00FE717B">
      <w:pPr>
        <w:widowControl w:val="0"/>
        <w:adjustRightInd/>
        <w:snapToGrid/>
        <w:spacing w:before="240" w:after="0" w:line="240" w:lineRule="exact"/>
        <w:rPr>
          <w:rFonts w:ascii="仿宋_GB2312" w:eastAsia="仿宋_GB2312" w:hAnsi="Calibri" w:cs="Times New Roman"/>
          <w:b/>
          <w:bCs/>
          <w:kern w:val="2"/>
          <w:sz w:val="21"/>
          <w:szCs w:val="21"/>
        </w:rPr>
      </w:pPr>
    </w:p>
    <w:p w:rsidR="00FE717B" w:rsidRPr="00FE717B" w:rsidRDefault="00FE717B" w:rsidP="00FE717B">
      <w:pPr>
        <w:adjustRightInd/>
        <w:snapToGrid/>
        <w:spacing w:after="0"/>
        <w:rPr>
          <w:rFonts w:ascii="仿宋_GB2312" w:eastAsia="仿宋_GB2312" w:hAnsi="Calibri" w:cs="Times New Roman"/>
          <w:b/>
          <w:bCs/>
          <w:kern w:val="2"/>
          <w:sz w:val="21"/>
          <w:szCs w:val="21"/>
        </w:rPr>
      </w:pPr>
      <w:r w:rsidRPr="00FE717B">
        <w:rPr>
          <w:rFonts w:ascii="仿宋_GB2312" w:eastAsia="仿宋_GB2312" w:hAnsi="Calibri" w:cs="Times New Roman"/>
          <w:b/>
          <w:bCs/>
          <w:kern w:val="2"/>
          <w:sz w:val="21"/>
          <w:szCs w:val="21"/>
        </w:rPr>
        <w:br w:type="page"/>
      </w:r>
    </w:p>
    <w:p w:rsidR="00FE717B" w:rsidRPr="00FE717B" w:rsidRDefault="00FE717B" w:rsidP="00FE717B">
      <w:pPr>
        <w:widowControl w:val="0"/>
        <w:adjustRightInd/>
        <w:snapToGrid/>
        <w:spacing w:before="240" w:after="0" w:line="240" w:lineRule="exact"/>
        <w:rPr>
          <w:rFonts w:ascii="仿宋_GB2312" w:eastAsia="仿宋_GB2312" w:hAnsi="Calibri" w:cs="Times New Roman"/>
          <w:b/>
          <w:bCs/>
          <w:kern w:val="2"/>
          <w:sz w:val="21"/>
          <w:szCs w:val="21"/>
        </w:rPr>
      </w:pPr>
    </w:p>
    <w:tbl>
      <w:tblPr>
        <w:tblW w:w="11001" w:type="dxa"/>
        <w:tblInd w:w="-1168" w:type="dxa"/>
        <w:tblLook w:val="04A0"/>
      </w:tblPr>
      <w:tblGrid>
        <w:gridCol w:w="1316"/>
        <w:gridCol w:w="1426"/>
        <w:gridCol w:w="5141"/>
        <w:gridCol w:w="1223"/>
        <w:gridCol w:w="1895"/>
      </w:tblGrid>
      <w:tr w:rsidR="00FE717B" w:rsidRPr="00FE717B" w:rsidTr="00FE717B">
        <w:trPr>
          <w:trHeight w:val="402"/>
        </w:trPr>
        <w:tc>
          <w:tcPr>
            <w:tcW w:w="1316" w:type="dxa"/>
            <w:tcBorders>
              <w:top w:val="single" w:sz="4" w:space="0" w:color="auto"/>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日期</w:t>
            </w:r>
          </w:p>
        </w:tc>
        <w:tc>
          <w:tcPr>
            <w:tcW w:w="1426" w:type="dxa"/>
            <w:tcBorders>
              <w:top w:val="single" w:sz="4" w:space="0" w:color="auto"/>
              <w:left w:val="nil"/>
              <w:bottom w:val="single" w:sz="4" w:space="0" w:color="auto"/>
              <w:right w:val="single" w:sz="4" w:space="0" w:color="auto"/>
            </w:tcBorders>
            <w:shd w:val="clear" w:color="auto" w:fill="DAEEF3"/>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时间</w:t>
            </w:r>
          </w:p>
        </w:tc>
        <w:tc>
          <w:tcPr>
            <w:tcW w:w="5141" w:type="dxa"/>
            <w:tcBorders>
              <w:top w:val="single" w:sz="4" w:space="0" w:color="auto"/>
              <w:left w:val="nil"/>
              <w:bottom w:val="single" w:sz="4" w:space="0" w:color="auto"/>
              <w:right w:val="single" w:sz="4" w:space="0" w:color="auto"/>
            </w:tcBorders>
            <w:shd w:val="clear" w:color="auto" w:fill="DAEEF3"/>
            <w:vAlign w:val="center"/>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活动内容</w:t>
            </w:r>
          </w:p>
        </w:tc>
        <w:tc>
          <w:tcPr>
            <w:tcW w:w="1223" w:type="dxa"/>
            <w:tcBorders>
              <w:top w:val="single" w:sz="4" w:space="0" w:color="auto"/>
              <w:left w:val="nil"/>
              <w:bottom w:val="single" w:sz="4" w:space="0" w:color="auto"/>
              <w:right w:val="single" w:sz="4" w:space="0" w:color="auto"/>
            </w:tcBorders>
            <w:shd w:val="clear" w:color="auto" w:fill="DAEEF3"/>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地点</w:t>
            </w:r>
          </w:p>
        </w:tc>
        <w:tc>
          <w:tcPr>
            <w:tcW w:w="1895" w:type="dxa"/>
            <w:tcBorders>
              <w:top w:val="single" w:sz="4" w:space="0" w:color="auto"/>
              <w:left w:val="nil"/>
              <w:bottom w:val="single" w:sz="4" w:space="0" w:color="auto"/>
              <w:right w:val="single" w:sz="4" w:space="0" w:color="auto"/>
            </w:tcBorders>
            <w:shd w:val="clear" w:color="auto" w:fill="DAEEF3"/>
            <w:vAlign w:val="center"/>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备注</w:t>
            </w:r>
          </w:p>
        </w:tc>
      </w:tr>
      <w:tr w:rsidR="00FE717B" w:rsidRPr="00FE717B" w:rsidTr="00FE717B">
        <w:trPr>
          <w:trHeight w:val="402"/>
        </w:trPr>
        <w:tc>
          <w:tcPr>
            <w:tcW w:w="1316" w:type="dxa"/>
            <w:vMerge w:val="restart"/>
            <w:tcBorders>
              <w:top w:val="single" w:sz="4" w:space="0" w:color="auto"/>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8月17日</w:t>
            </w:r>
          </w:p>
        </w:tc>
        <w:tc>
          <w:tcPr>
            <w:tcW w:w="9685" w:type="dxa"/>
            <w:gridSpan w:val="4"/>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第三部分：非道路污染排放控制技术专题</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08:30-09:00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嘉宾入场</w:t>
            </w:r>
          </w:p>
        </w:tc>
        <w:tc>
          <w:tcPr>
            <w:tcW w:w="1223" w:type="dxa"/>
            <w:vMerge w:val="restart"/>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玉柴、一汽、中自环保等发动机和后处理知名企业技术专家</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09:00-09:30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非道路发动机排放控制技术法规解读</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09:30-10:00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面向T4法规的发动机机内净化和后处理技术路线</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10:00-10:20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茶歇与交流</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10:20-10:50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应对非道路T4法规的PM和</w:t>
            </w:r>
            <w:proofErr w:type="spellStart"/>
            <w:r w:rsidRPr="00FE717B">
              <w:rPr>
                <w:rFonts w:ascii="仿宋" w:eastAsia="仿宋" w:hAnsi="仿宋" w:cs="宋体" w:hint="eastAsia"/>
                <w:color w:val="000000"/>
              </w:rPr>
              <w:t>NOx</w:t>
            </w:r>
            <w:proofErr w:type="spellEnd"/>
            <w:r w:rsidRPr="00FE717B">
              <w:rPr>
                <w:rFonts w:ascii="仿宋" w:eastAsia="仿宋" w:hAnsi="仿宋" w:cs="宋体" w:hint="eastAsia"/>
                <w:color w:val="000000"/>
              </w:rPr>
              <w:t>排放协同控制关键技术及系统集成</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16"/>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10:50-11:20</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颗粒捕集器（DPF）在非道路机械上应用的挑战</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11:20-11:50</w:t>
            </w:r>
          </w:p>
        </w:tc>
        <w:tc>
          <w:tcPr>
            <w:tcW w:w="5141" w:type="dxa"/>
            <w:tcBorders>
              <w:top w:val="nil"/>
              <w:left w:val="single" w:sz="4" w:space="0" w:color="auto"/>
              <w:bottom w:val="single" w:sz="4" w:space="0" w:color="auto"/>
              <w:right w:val="single" w:sz="4" w:space="0" w:color="auto"/>
            </w:tcBorders>
            <w:shd w:val="clear" w:color="auto" w:fill="auto"/>
            <w:noWrap/>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柴油机（非道路）车载诊断系统（OBD）开发和应用</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11:50-12:10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总结讨论</w:t>
            </w:r>
          </w:p>
        </w:tc>
        <w:tc>
          <w:tcPr>
            <w:tcW w:w="1223" w:type="dxa"/>
            <w:vMerge/>
            <w:tcBorders>
              <w:top w:val="single" w:sz="4" w:space="0" w:color="auto"/>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auto"/>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510"/>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12:10-13:00</w:t>
            </w:r>
          </w:p>
        </w:tc>
        <w:tc>
          <w:tcPr>
            <w:tcW w:w="5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自助午餐</w:t>
            </w:r>
          </w:p>
        </w:tc>
        <w:tc>
          <w:tcPr>
            <w:tcW w:w="1223" w:type="dxa"/>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二楼棠宫中餐厅</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9685" w:type="dxa"/>
            <w:gridSpan w:val="4"/>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第四部分：汽油车污染排放控制技术专题</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13:30-14:00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面向国6的汽油车GPF关键技术及系统集成</w:t>
            </w:r>
          </w:p>
        </w:tc>
        <w:tc>
          <w:tcPr>
            <w:tcW w:w="1223" w:type="dxa"/>
            <w:vMerge w:val="restart"/>
            <w:tcBorders>
              <w:top w:val="single" w:sz="4" w:space="0" w:color="auto"/>
              <w:left w:val="nil"/>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vMerge w:val="restart"/>
            <w:tcBorders>
              <w:top w:val="nil"/>
              <w:left w:val="single" w:sz="4" w:space="0" w:color="auto"/>
              <w:right w:val="single" w:sz="4" w:space="0" w:color="auto"/>
            </w:tcBorders>
            <w:shd w:val="clear" w:color="auto" w:fill="auto"/>
            <w:vAlign w:val="center"/>
            <w:hideMark/>
          </w:tcPr>
          <w:p w:rsidR="00FE717B" w:rsidRPr="00FE717B" w:rsidRDefault="00FE717B" w:rsidP="00FE717B">
            <w:pPr>
              <w:widowControl w:val="0"/>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上汽集团、知名企业技术专家</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14:00-14:30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混合动力汽车（HEV）排放控制关键技术及发展趋势</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tc>
        <w:tc>
          <w:tcPr>
            <w:tcW w:w="1895" w:type="dxa"/>
            <w:vMerge/>
            <w:tcBorders>
              <w:left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383"/>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14:30-15:00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基于V流程的排放后处理电控系统开发及测试</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left w:val="single" w:sz="4" w:space="0" w:color="auto"/>
              <w:bottom w:val="nil"/>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383"/>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15:00-15:20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茶歇与交流</w:t>
            </w:r>
          </w:p>
        </w:tc>
        <w:tc>
          <w:tcPr>
            <w:tcW w:w="1223" w:type="dxa"/>
            <w:vMerge/>
            <w:tcBorders>
              <w:left w:val="single" w:sz="4" w:space="0" w:color="auto"/>
              <w:bottom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tcBorders>
              <w:top w:val="single" w:sz="4" w:space="0" w:color="auto"/>
              <w:left w:val="single" w:sz="4" w:space="0" w:color="auto"/>
              <w:bottom w:val="nil"/>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9685" w:type="dxa"/>
            <w:gridSpan w:val="4"/>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b/>
                <w:color w:val="000000"/>
              </w:rPr>
            </w:pPr>
            <w:r w:rsidRPr="00FE717B">
              <w:rPr>
                <w:rFonts w:ascii="仿宋" w:eastAsia="仿宋" w:hAnsi="仿宋" w:cs="宋体" w:hint="eastAsia"/>
                <w:b/>
                <w:color w:val="000000"/>
              </w:rPr>
              <w:t>第五部分：船舶污染排放控制技术专题</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15:20-15:50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船舶2020年全球硫氧化物控制法规应对策略与解决方案</w:t>
            </w:r>
          </w:p>
        </w:tc>
        <w:tc>
          <w:tcPr>
            <w:tcW w:w="1223" w:type="dxa"/>
            <w:vMerge w:val="restart"/>
            <w:tcBorders>
              <w:top w:val="single" w:sz="4" w:space="0" w:color="auto"/>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p>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三楼大宴会厅</w:t>
            </w:r>
          </w:p>
        </w:tc>
        <w:tc>
          <w:tcPr>
            <w:tcW w:w="1895" w:type="dxa"/>
            <w:vMerge w:val="restart"/>
            <w:tcBorders>
              <w:top w:val="nil"/>
              <w:left w:val="single" w:sz="4" w:space="0" w:color="auto"/>
              <w:bottom w:val="single" w:sz="4" w:space="0" w:color="000000"/>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交通部规划院、中船重工711所等知名研究机构</w:t>
            </w: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15:50-16:20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船舶低速柴油机</w:t>
            </w:r>
            <w:proofErr w:type="spellStart"/>
            <w:r w:rsidRPr="00FE717B">
              <w:rPr>
                <w:rFonts w:ascii="仿宋" w:eastAsia="仿宋" w:hAnsi="仿宋" w:cs="宋体" w:hint="eastAsia"/>
                <w:color w:val="000000"/>
              </w:rPr>
              <w:t>NOx</w:t>
            </w:r>
            <w:proofErr w:type="spellEnd"/>
            <w:r w:rsidRPr="00FE717B">
              <w:rPr>
                <w:rFonts w:ascii="仿宋" w:eastAsia="仿宋" w:hAnsi="仿宋" w:cs="宋体" w:hint="eastAsia"/>
                <w:color w:val="000000"/>
              </w:rPr>
              <w:t>减排治理技术路线</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rPr>
                <w:rFonts w:ascii="仿宋" w:eastAsia="仿宋" w:hAnsi="仿宋" w:cs="宋体"/>
                <w:color w:val="000000"/>
              </w:rPr>
            </w:pPr>
          </w:p>
        </w:tc>
        <w:tc>
          <w:tcPr>
            <w:tcW w:w="1895" w:type="dxa"/>
            <w:vMerge/>
            <w:tcBorders>
              <w:top w:val="nil"/>
              <w:left w:val="single" w:sz="4" w:space="0" w:color="auto"/>
              <w:bottom w:val="single" w:sz="4" w:space="0" w:color="000000"/>
              <w:right w:val="single" w:sz="4" w:space="0" w:color="auto"/>
            </w:tcBorders>
            <w:vAlign w:val="center"/>
            <w:hideMark/>
          </w:tcPr>
          <w:p w:rsidR="00FE717B" w:rsidRPr="00FE717B" w:rsidRDefault="00FE717B" w:rsidP="00FE717B">
            <w:pPr>
              <w:adjustRightInd/>
              <w:snapToGrid/>
              <w:spacing w:after="0"/>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16:20-16:40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总结讨论</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16:40-16:50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移动源国家工程实验室2018年开放基金指南公布</w:t>
            </w:r>
          </w:p>
        </w:tc>
        <w:tc>
          <w:tcPr>
            <w:tcW w:w="1223" w:type="dxa"/>
            <w:vMerge/>
            <w:tcBorders>
              <w:left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402"/>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16:50-17:20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闭幕式</w:t>
            </w:r>
          </w:p>
        </w:tc>
        <w:tc>
          <w:tcPr>
            <w:tcW w:w="1223" w:type="dxa"/>
            <w:vMerge/>
            <w:tcBorders>
              <w:left w:val="single" w:sz="4" w:space="0" w:color="auto"/>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r w:rsidR="00FE717B" w:rsidRPr="00FE717B" w:rsidTr="00FE717B">
        <w:trPr>
          <w:trHeight w:val="540"/>
        </w:trPr>
        <w:tc>
          <w:tcPr>
            <w:tcW w:w="1316" w:type="dxa"/>
            <w:vMerge/>
            <w:tcBorders>
              <w:top w:val="nil"/>
              <w:left w:val="single" w:sz="4" w:space="0" w:color="auto"/>
              <w:bottom w:val="single" w:sz="4" w:space="0" w:color="000000"/>
              <w:right w:val="single" w:sz="4" w:space="0" w:color="auto"/>
            </w:tcBorders>
            <w:shd w:val="clear" w:color="auto" w:fill="DAEEF3"/>
            <w:vAlign w:val="center"/>
            <w:hideMark/>
          </w:tcPr>
          <w:p w:rsidR="00FE717B" w:rsidRPr="00FE717B" w:rsidRDefault="00FE717B" w:rsidP="00FE717B">
            <w:pPr>
              <w:adjustRightInd/>
              <w:snapToGrid/>
              <w:spacing w:after="0"/>
              <w:rPr>
                <w:rFonts w:ascii="仿宋" w:eastAsia="仿宋" w:hAnsi="仿宋" w:cs="宋体"/>
                <w:color w:val="000000"/>
              </w:rPr>
            </w:pPr>
          </w:p>
        </w:tc>
        <w:tc>
          <w:tcPr>
            <w:tcW w:w="1426" w:type="dxa"/>
            <w:tcBorders>
              <w:top w:val="single" w:sz="4" w:space="0" w:color="auto"/>
              <w:left w:val="nil"/>
              <w:bottom w:val="single" w:sz="4" w:space="0" w:color="auto"/>
              <w:right w:val="single" w:sz="4" w:space="0" w:color="auto"/>
            </w:tcBorders>
            <w:vAlign w:val="center"/>
          </w:tcPr>
          <w:p w:rsidR="00FE717B" w:rsidRPr="00FE717B" w:rsidRDefault="00FE717B" w:rsidP="00FE717B">
            <w:pPr>
              <w:widowControl w:val="0"/>
              <w:adjustRightInd/>
              <w:snapToGrid/>
              <w:spacing w:after="0"/>
              <w:jc w:val="center"/>
              <w:rPr>
                <w:rFonts w:ascii="仿宋" w:eastAsia="仿宋" w:hAnsi="仿宋" w:cs="宋体"/>
                <w:color w:val="000000"/>
                <w:kern w:val="2"/>
              </w:rPr>
            </w:pPr>
            <w:r w:rsidRPr="00FE717B">
              <w:rPr>
                <w:rFonts w:ascii="仿宋" w:eastAsia="仿宋" w:hAnsi="仿宋" w:cs="Times New Roman" w:hint="eastAsia"/>
                <w:color w:val="000000"/>
                <w:kern w:val="2"/>
              </w:rPr>
              <w:t>17:30-19:00</w:t>
            </w:r>
          </w:p>
        </w:tc>
        <w:tc>
          <w:tcPr>
            <w:tcW w:w="5141"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自助晚餐</w:t>
            </w:r>
          </w:p>
        </w:tc>
        <w:tc>
          <w:tcPr>
            <w:tcW w:w="1223" w:type="dxa"/>
            <w:tcBorders>
              <w:top w:val="single" w:sz="4" w:space="0" w:color="auto"/>
              <w:left w:val="nil"/>
              <w:bottom w:val="single" w:sz="4" w:space="0" w:color="auto"/>
              <w:right w:val="single" w:sz="4" w:space="0" w:color="auto"/>
            </w:tcBorders>
          </w:tcPr>
          <w:p w:rsidR="00FE717B" w:rsidRPr="00FE717B" w:rsidRDefault="00FE717B" w:rsidP="00FE717B">
            <w:pPr>
              <w:adjustRightInd/>
              <w:snapToGrid/>
              <w:spacing w:after="0"/>
              <w:jc w:val="center"/>
              <w:rPr>
                <w:rFonts w:ascii="仿宋" w:eastAsia="仿宋" w:hAnsi="仿宋" w:cs="宋体"/>
                <w:color w:val="000000"/>
              </w:rPr>
            </w:pPr>
            <w:r w:rsidRPr="00FE717B">
              <w:rPr>
                <w:rFonts w:ascii="仿宋" w:eastAsia="仿宋" w:hAnsi="仿宋" w:cs="宋体" w:hint="eastAsia"/>
                <w:color w:val="000000"/>
              </w:rPr>
              <w:t>一楼品味餐厅</w:t>
            </w:r>
          </w:p>
        </w:tc>
        <w:tc>
          <w:tcPr>
            <w:tcW w:w="1895" w:type="dxa"/>
            <w:tcBorders>
              <w:top w:val="nil"/>
              <w:left w:val="single" w:sz="4" w:space="0" w:color="auto"/>
              <w:bottom w:val="single" w:sz="4" w:space="0" w:color="auto"/>
              <w:right w:val="single" w:sz="4" w:space="0" w:color="auto"/>
            </w:tcBorders>
            <w:shd w:val="clear" w:color="auto" w:fill="auto"/>
            <w:vAlign w:val="center"/>
            <w:hideMark/>
          </w:tcPr>
          <w:p w:rsidR="00FE717B" w:rsidRPr="00FE717B" w:rsidRDefault="00FE717B" w:rsidP="00FE717B">
            <w:pPr>
              <w:adjustRightInd/>
              <w:snapToGrid/>
              <w:spacing w:after="0"/>
              <w:jc w:val="center"/>
              <w:rPr>
                <w:rFonts w:ascii="仿宋" w:eastAsia="仿宋" w:hAnsi="仿宋" w:cs="宋体"/>
                <w:color w:val="000000"/>
              </w:rPr>
            </w:pPr>
          </w:p>
        </w:tc>
      </w:tr>
    </w:tbl>
    <w:p w:rsidR="00FE717B" w:rsidRPr="00FE717B" w:rsidRDefault="00FE717B" w:rsidP="00FE717B">
      <w:pPr>
        <w:widowControl w:val="0"/>
        <w:adjustRightInd/>
        <w:snapToGrid/>
        <w:spacing w:before="240" w:after="0" w:line="240" w:lineRule="exact"/>
        <w:rPr>
          <w:rFonts w:ascii="仿宋_GB2312" w:eastAsia="仿宋_GB2312" w:hAnsi="Calibri" w:cs="Times New Roman"/>
          <w:b/>
          <w:bCs/>
          <w:kern w:val="2"/>
          <w:sz w:val="21"/>
          <w:szCs w:val="21"/>
        </w:rPr>
      </w:pPr>
      <w:r w:rsidRPr="00FE717B">
        <w:rPr>
          <w:rFonts w:ascii="仿宋_GB2312" w:eastAsia="仿宋_GB2312" w:hAnsi="Calibri" w:cs="Times New Roman" w:hint="eastAsia"/>
          <w:b/>
          <w:bCs/>
          <w:kern w:val="2"/>
          <w:sz w:val="21"/>
          <w:szCs w:val="21"/>
        </w:rPr>
        <w:t>注：会议日程更新中，请以当日日程为准</w:t>
      </w:r>
    </w:p>
    <w:p w:rsidR="00FE717B" w:rsidRPr="00FE717B" w:rsidRDefault="00FE717B" w:rsidP="00FE717B">
      <w:pPr>
        <w:adjustRightInd/>
        <w:snapToGrid/>
        <w:spacing w:after="0"/>
        <w:rPr>
          <w:rFonts w:ascii="仿宋" w:eastAsia="仿宋" w:hAnsi="仿宋" w:cs="Times New Roman"/>
          <w:bCs/>
          <w:color w:val="FF0000"/>
          <w:kern w:val="2"/>
          <w:sz w:val="28"/>
          <w:szCs w:val="21"/>
        </w:rPr>
      </w:pPr>
    </w:p>
    <w:p w:rsidR="004358AB" w:rsidRPr="00FE717B" w:rsidRDefault="004358AB" w:rsidP="00FE717B">
      <w:pPr>
        <w:adjustRightInd/>
        <w:snapToGrid/>
        <w:spacing w:after="0"/>
        <w:rPr>
          <w:rFonts w:ascii="仿宋" w:eastAsia="仿宋" w:hAnsi="仿宋" w:cs="Times New Roman"/>
          <w:bCs/>
          <w:color w:val="FF0000"/>
          <w:kern w:val="2"/>
          <w:sz w:val="28"/>
          <w:szCs w:val="21"/>
        </w:rPr>
      </w:pPr>
    </w:p>
    <w:sectPr w:rsidR="004358AB" w:rsidRPr="00FE717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493" w:rsidRDefault="008C3493" w:rsidP="00FE717B">
      <w:pPr>
        <w:spacing w:after="0"/>
      </w:pPr>
      <w:r>
        <w:separator/>
      </w:r>
    </w:p>
  </w:endnote>
  <w:endnote w:type="continuationSeparator" w:id="0">
    <w:p w:rsidR="008C3493" w:rsidRDefault="008C3493" w:rsidP="00FE717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493" w:rsidRDefault="008C3493" w:rsidP="00FE717B">
      <w:pPr>
        <w:spacing w:after="0"/>
      </w:pPr>
      <w:r>
        <w:separator/>
      </w:r>
    </w:p>
  </w:footnote>
  <w:footnote w:type="continuationSeparator" w:id="0">
    <w:p w:rsidR="008C3493" w:rsidRDefault="008C3493" w:rsidP="00FE717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65039"/>
    <w:rsid w:val="001C4ADF"/>
    <w:rsid w:val="00323B43"/>
    <w:rsid w:val="003D37D8"/>
    <w:rsid w:val="00426133"/>
    <w:rsid w:val="004358AB"/>
    <w:rsid w:val="00843F62"/>
    <w:rsid w:val="008B7726"/>
    <w:rsid w:val="008C3493"/>
    <w:rsid w:val="009C3150"/>
    <w:rsid w:val="00B22C28"/>
    <w:rsid w:val="00D02F6E"/>
    <w:rsid w:val="00D244CC"/>
    <w:rsid w:val="00D31D50"/>
    <w:rsid w:val="00FC0B96"/>
    <w:rsid w:val="00FE71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717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E717B"/>
    <w:rPr>
      <w:rFonts w:ascii="Tahoma" w:hAnsi="Tahoma"/>
      <w:sz w:val="18"/>
      <w:szCs w:val="18"/>
    </w:rPr>
  </w:style>
  <w:style w:type="paragraph" w:styleId="a4">
    <w:name w:val="footer"/>
    <w:basedOn w:val="a"/>
    <w:link w:val="Char0"/>
    <w:uiPriority w:val="99"/>
    <w:semiHidden/>
    <w:unhideWhenUsed/>
    <w:rsid w:val="00FE717B"/>
    <w:pPr>
      <w:tabs>
        <w:tab w:val="center" w:pos="4153"/>
        <w:tab w:val="right" w:pos="8306"/>
      </w:tabs>
    </w:pPr>
    <w:rPr>
      <w:sz w:val="18"/>
      <w:szCs w:val="18"/>
    </w:rPr>
  </w:style>
  <w:style w:type="character" w:customStyle="1" w:styleId="Char0">
    <w:name w:val="页脚 Char"/>
    <w:basedOn w:val="a0"/>
    <w:link w:val="a4"/>
    <w:uiPriority w:val="99"/>
    <w:semiHidden/>
    <w:rsid w:val="00FE717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SYK</cp:lastModifiedBy>
  <cp:revision>5</cp:revision>
  <dcterms:created xsi:type="dcterms:W3CDTF">2008-09-11T17:20:00Z</dcterms:created>
  <dcterms:modified xsi:type="dcterms:W3CDTF">2018-06-11T10:11:00Z</dcterms:modified>
</cp:coreProperties>
</file>